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line="578" w:lineRule="exact"/>
        <w:rPr>
          <w:rFonts w:hint="eastAsia" w:ascii="宋体" w:cs="宋体"/>
          <w:bCs/>
          <w:sz w:val="32"/>
          <w:szCs w:val="32"/>
        </w:rPr>
      </w:pPr>
      <w:r>
        <w:rPr>
          <w:rFonts w:hint="eastAsia" w:ascii="黑体" w:hAnsi="黑体" w:eastAsia="黑体" w:cs="宋体"/>
          <w:bCs/>
          <w:sz w:val="32"/>
          <w:szCs w:val="32"/>
        </w:rPr>
        <w:t>附件</w:t>
      </w:r>
    </w:p>
    <w:p>
      <w:pPr>
        <w:pStyle w:val="4"/>
        <w:widowControl/>
        <w:spacing w:line="600" w:lineRule="exact"/>
        <w:jc w:val="center"/>
        <w:rPr>
          <w:rFonts w:hint="eastAsia" w:ascii="方正小标宋简体" w:hAnsi="方正小标宋_GBK" w:eastAsia="方正小标宋简体" w:cs="宋体"/>
          <w:bCs/>
          <w:sz w:val="44"/>
          <w:szCs w:val="44"/>
        </w:rPr>
      </w:pPr>
    </w:p>
    <w:p>
      <w:pPr>
        <w:pStyle w:val="4"/>
        <w:widowControl/>
        <w:spacing w:after="240" w:afterLines="100" w:line="600" w:lineRule="exact"/>
        <w:jc w:val="center"/>
        <w:rPr>
          <w:rFonts w:hint="eastAsia" w:ascii="方正小标宋简体" w:eastAsia="方正小标宋简体" w:cs="宋体"/>
          <w:bCs/>
          <w:sz w:val="44"/>
          <w:szCs w:val="44"/>
        </w:rPr>
      </w:pPr>
      <w:bookmarkStart w:id="0" w:name="_GoBack"/>
      <w:r>
        <w:rPr>
          <w:rFonts w:hint="eastAsia" w:ascii="方正小标宋简体" w:hAnsi="方正小标宋_GBK" w:eastAsia="方正小标宋简体" w:cs="宋体"/>
          <w:bCs/>
          <w:sz w:val="44"/>
          <w:szCs w:val="44"/>
        </w:rPr>
        <w:t>2016年度全国党校系统重点课题立项名单</w:t>
      </w:r>
    </w:p>
    <w:bookmarkEnd w:id="0"/>
    <w:tbl>
      <w:tblPr>
        <w:tblStyle w:val="3"/>
        <w:tblW w:w="8974" w:type="dxa"/>
        <w:jc w:val="center"/>
        <w:tblInd w:w="0" w:type="dxa"/>
        <w:tblLayout w:type="fixed"/>
        <w:tblCellMar>
          <w:top w:w="0" w:type="dxa"/>
          <w:left w:w="108" w:type="dxa"/>
          <w:bottom w:w="0" w:type="dxa"/>
          <w:right w:w="108" w:type="dxa"/>
        </w:tblCellMar>
      </w:tblPr>
      <w:tblGrid>
        <w:gridCol w:w="558"/>
        <w:gridCol w:w="2201"/>
        <w:gridCol w:w="850"/>
        <w:gridCol w:w="5365"/>
      </w:tblGrid>
      <w:tr>
        <w:tblPrEx>
          <w:tblLayout w:type="fixed"/>
          <w:tblCellMar>
            <w:top w:w="0" w:type="dxa"/>
            <w:left w:w="108" w:type="dxa"/>
            <w:bottom w:w="0" w:type="dxa"/>
            <w:right w:w="108" w:type="dxa"/>
          </w:tblCellMar>
        </w:tblPrEx>
        <w:trPr>
          <w:trHeight w:val="454"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黑体" w:hAnsi="黑体" w:eastAsia="黑体" w:cs="宋体"/>
                <w:color w:val="000000"/>
                <w:sz w:val="24"/>
              </w:rPr>
            </w:pPr>
            <w:r>
              <w:rPr>
                <w:rFonts w:hint="eastAsia" w:ascii="黑体" w:hAnsi="黑体" w:eastAsia="黑体" w:cs="宋体"/>
                <w:color w:val="000000"/>
                <w:kern w:val="0"/>
                <w:sz w:val="24"/>
              </w:rPr>
              <w:t>序号</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黑体" w:hAnsi="黑体" w:eastAsia="黑体" w:cs="宋体"/>
                <w:color w:val="000000"/>
                <w:sz w:val="24"/>
              </w:rPr>
            </w:pPr>
            <w:r>
              <w:rPr>
                <w:rFonts w:hint="eastAsia" w:ascii="黑体" w:hAnsi="黑体" w:eastAsia="黑体" w:cs="宋体"/>
                <w:color w:val="000000"/>
                <w:kern w:val="0"/>
                <w:sz w:val="24"/>
              </w:rPr>
              <w:t>单    位</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黑体" w:hAnsi="黑体" w:eastAsia="黑体" w:cs="宋体"/>
                <w:color w:val="000000"/>
                <w:sz w:val="24"/>
              </w:rPr>
            </w:pPr>
            <w:r>
              <w:rPr>
                <w:rFonts w:hint="eastAsia" w:ascii="黑体" w:hAnsi="黑体" w:eastAsia="黑体" w:cs="宋体"/>
                <w:color w:val="000000"/>
                <w:kern w:val="0"/>
                <w:sz w:val="24"/>
              </w:rPr>
              <w:t>主持人</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黑体" w:hAnsi="黑体" w:eastAsia="黑体" w:cs="宋体"/>
                <w:color w:val="000000"/>
                <w:sz w:val="24"/>
              </w:rPr>
            </w:pPr>
            <w:r>
              <w:rPr>
                <w:rFonts w:hint="eastAsia" w:ascii="黑体" w:hAnsi="黑体" w:eastAsia="黑体" w:cs="宋体"/>
                <w:color w:val="000000"/>
                <w:kern w:val="0"/>
                <w:sz w:val="24"/>
              </w:rPr>
              <w:t>课  题  题  目</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1</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北京市委党校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张玉宝</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全面从严治党视域下北京市党员再组织化研究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2</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北京市委党校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龚文婧</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美式民主输出与输入国的政治困境</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3</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北京市委党校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朱晓青</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新常态下加快现代服务业发展的路径研究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4</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天津市委党校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石学峰</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“为官不为”问题的综合规制研究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5</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天津市委党校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张来占</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生态文明农村模式研究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6</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天津市委党校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 xml:space="preserve">杨  </w:t>
            </w:r>
            <w:r>
              <w:rPr>
                <w:rFonts w:hint="eastAsia" w:ascii="宋体" w:hAnsi="宋体" w:cs="宋体"/>
                <w:color w:val="000000"/>
                <w:kern w:val="0"/>
                <w:sz w:val="24"/>
              </w:rPr>
              <w:t>彧</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习近平总书记从严治吏思想研究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7</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河北省委党校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牟永福</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政府购买生态服务与京津冀环境治理一体化研究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8</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山西省委党校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崔建周</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习近平治国理政思想的干部认同度调查</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9</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山西省委党校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田  辉</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中国共产党思想领导的历史经验研究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10</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内蒙古自治区委党校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海  琴</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坚持开放发展创新中蒙俄经济走廊金融合作</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11</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内蒙古自治区委党校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张学刚</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pacing w:val="-8"/>
                <w:sz w:val="24"/>
              </w:rPr>
            </w:pPr>
            <w:r>
              <w:rPr>
                <w:rFonts w:hint="eastAsia" w:ascii="仿宋_GB2312" w:hAnsi="仿宋_GB2312" w:eastAsia="仿宋_GB2312" w:cs="宋体"/>
                <w:color w:val="000000"/>
                <w:spacing w:val="-8"/>
                <w:kern w:val="0"/>
                <w:sz w:val="24"/>
              </w:rPr>
              <w:t>协调发展理念下内蒙古推动区域协调发展的对策研究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12</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辽宁省委党校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郭  薇</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国家治理体系和治理能力现代化的实现路径研究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13</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辽宁省委党校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魏亚男</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马克思经济周期理论视角下的中国经济新常态</w:t>
            </w:r>
          </w:p>
        </w:tc>
      </w:tr>
      <w:tr>
        <w:tblPrEx>
          <w:tblLayout w:type="fixed"/>
          <w:tblCellMar>
            <w:top w:w="0" w:type="dxa"/>
            <w:left w:w="108" w:type="dxa"/>
            <w:bottom w:w="0" w:type="dxa"/>
            <w:right w:w="108" w:type="dxa"/>
          </w:tblCellMar>
        </w:tblPrEx>
        <w:trPr>
          <w:trHeight w:val="680"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14</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吉林省委党校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杨妮娜</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党在基层治理中的领导方式创新</w:t>
            </w:r>
            <w:r>
              <w:rPr>
                <w:rFonts w:hint="eastAsia" w:ascii="仿宋_GB2312" w:hAnsi="仿宋_GB2312" w:eastAsia="仿宋_GB2312" w:cs="宋体"/>
                <w:color w:val="000000"/>
                <w:w w:val="200"/>
                <w:kern w:val="0"/>
                <w:sz w:val="24"/>
              </w:rPr>
              <w:t>—</w:t>
            </w:r>
            <w:r>
              <w:rPr>
                <w:rFonts w:hint="eastAsia" w:ascii="仿宋_GB2312" w:hAnsi="仿宋_GB2312" w:eastAsia="仿宋_GB2312" w:cs="宋体"/>
                <w:color w:val="000000"/>
                <w:kern w:val="0"/>
                <w:sz w:val="24"/>
              </w:rPr>
              <w:t>长春市南湖街道区域化党组织联合体建设调研</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15</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吉林省委党校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闫  英</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司法反腐与党纪反腐制度研究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16</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吉林省委党校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李  刚</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东北地区制造业战略转型的对策研究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17</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黑龙江省委党校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梁  謇</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新常态下中国潜在经济增速及其实现对策研究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18</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黑龙江省委党校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赵海艳</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基于政府、市场和社会关系的政府治理模式现代化研究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19</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黑龙江省委党校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王  丽</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共享视域下黑龙江精准扶贫政策保障研究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eastAsia="仿宋_GB2312"/>
                <w:color w:val="000000"/>
                <w:kern w:val="0"/>
                <w:sz w:val="24"/>
              </w:rPr>
              <w:t>20</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上海市委党校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阮传胜</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全面从严治党视域下违纪与违法行为惩戒机制的衔接研究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21</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上海市委党校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pacing w:val="-18"/>
                <w:sz w:val="24"/>
              </w:rPr>
            </w:pPr>
            <w:r>
              <w:rPr>
                <w:rFonts w:hint="eastAsia" w:ascii="仿宋_GB2312" w:hAnsi="仿宋_GB2312" w:eastAsia="仿宋_GB2312" w:cs="宋体"/>
                <w:color w:val="000000"/>
                <w:spacing w:val="-18"/>
                <w:kern w:val="0"/>
                <w:sz w:val="24"/>
              </w:rPr>
              <w:t>上官酒瑞</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网络政治舆论生态的新变化与治理</w:t>
            </w:r>
            <w:r>
              <w:rPr>
                <w:rFonts w:hint="eastAsia" w:ascii="仿宋_GB2312" w:hAnsi="仿宋_GB2312" w:eastAsia="仿宋_GB2312" w:cs="宋体"/>
                <w:color w:val="000000"/>
                <w:w w:val="200"/>
                <w:kern w:val="0"/>
                <w:sz w:val="24"/>
              </w:rPr>
              <w:t>—</w:t>
            </w:r>
            <w:r>
              <w:rPr>
                <w:rFonts w:hint="eastAsia" w:ascii="仿宋_GB2312" w:hAnsi="仿宋_GB2312" w:eastAsia="仿宋_GB2312" w:cs="宋体"/>
                <w:color w:val="000000"/>
                <w:kern w:val="0"/>
                <w:sz w:val="24"/>
              </w:rPr>
              <w:t>以上海为例</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22</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上海市委党校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程竹汝</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全面依法治国战略思想研究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23</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江苏省委党校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孙耀武</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中国特色社会主义政治经济学的实践逻辑与理论创新研究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24</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江苏省委党校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王世谊</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推动党风廉政建设和反腐败斗争向基层延伸研究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25</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江苏省委党校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李立峰</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思想建党与制度治党紧密结合的现实路径研究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26</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浙江省委党校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董  瑛</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反腐败与民众“获得感”研究</w:t>
            </w:r>
          </w:p>
        </w:tc>
      </w:tr>
      <w:tr>
        <w:tblPrEx>
          <w:tblLayout w:type="fixed"/>
          <w:tblCellMar>
            <w:top w:w="0" w:type="dxa"/>
            <w:left w:w="108" w:type="dxa"/>
            <w:bottom w:w="0" w:type="dxa"/>
            <w:right w:w="108" w:type="dxa"/>
          </w:tblCellMar>
        </w:tblPrEx>
        <w:trPr>
          <w:trHeight w:val="680"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27</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浙江省委党校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卢  宁</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绿色发展理念的科学内涵与浙江省各类主体功能区绿色发展实践研究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28</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浙江省委党校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吴兴智</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我国民主政治发展中“代表”的内涵及其实践</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29</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安徽省委党校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徐  鸣</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政府对市场监管限度的研究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30</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安徽省委党校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聂志琦</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基层党员干部廉政意识研究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31</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福建省委党校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侯竹青</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概念史视角下中共对社会主义本质认识研究（</w:t>
            </w:r>
            <w:r>
              <w:rPr>
                <w:rFonts w:eastAsia="仿宋_GB2312"/>
                <w:color w:val="000000"/>
                <w:kern w:val="0"/>
                <w:sz w:val="24"/>
              </w:rPr>
              <w:t>1949</w:t>
            </w:r>
            <w:r>
              <w:rPr>
                <w:rFonts w:hint="eastAsia" w:ascii="仿宋_GB2312" w:eastAsia="仿宋_GB2312"/>
                <w:color w:val="000000"/>
                <w:kern w:val="0"/>
                <w:sz w:val="24"/>
              </w:rPr>
              <w:t>-</w:t>
            </w:r>
            <w:r>
              <w:rPr>
                <w:rFonts w:eastAsia="仿宋_GB2312"/>
                <w:color w:val="000000"/>
                <w:kern w:val="0"/>
                <w:sz w:val="24"/>
              </w:rPr>
              <w:t>2016</w:t>
            </w:r>
            <w:r>
              <w:rPr>
                <w:rFonts w:hint="eastAsia" w:ascii="仿宋_GB2312" w:hAnsi="仿宋_GB2312" w:eastAsia="仿宋_GB2312" w:cs="宋体"/>
                <w:color w:val="000000"/>
                <w:kern w:val="0"/>
                <w:sz w:val="24"/>
              </w:rPr>
              <w:t>）</w:t>
            </w:r>
          </w:p>
        </w:tc>
      </w:tr>
      <w:tr>
        <w:tblPrEx>
          <w:tblLayout w:type="fixed"/>
          <w:tblCellMar>
            <w:top w:w="0" w:type="dxa"/>
            <w:left w:w="108" w:type="dxa"/>
            <w:bottom w:w="0" w:type="dxa"/>
            <w:right w:w="108" w:type="dxa"/>
          </w:tblCellMar>
        </w:tblPrEx>
        <w:trPr>
          <w:trHeight w:val="680"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32</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福建省委党校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刘瑛华</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hint="eastAsia" w:ascii="仿宋_GB2312" w:hAnsi="仿宋_GB2312" w:eastAsia="仿宋_GB2312" w:cs="宋体"/>
                <w:color w:val="000000"/>
                <w:kern w:val="0"/>
                <w:sz w:val="24"/>
              </w:rPr>
            </w:pPr>
            <w:r>
              <w:rPr>
                <w:rFonts w:hint="eastAsia" w:ascii="仿宋_GB2312" w:hAnsi="仿宋_GB2312" w:eastAsia="仿宋_GB2312" w:cs="宋体"/>
                <w:color w:val="000000"/>
                <w:kern w:val="0"/>
                <w:sz w:val="24"/>
              </w:rPr>
              <w:t>习近平的少数民族地区脱贫致富思想研究</w:t>
            </w:r>
            <w:r>
              <w:rPr>
                <w:rFonts w:hint="eastAsia" w:ascii="仿宋_GB2312" w:hAnsi="仿宋_GB2312" w:eastAsia="仿宋_GB2312" w:cs="宋体"/>
                <w:color w:val="000000"/>
                <w:w w:val="200"/>
                <w:kern w:val="0"/>
                <w:sz w:val="24"/>
              </w:rPr>
              <w:t>—</w:t>
            </w:r>
            <w:r>
              <w:rPr>
                <w:rFonts w:hint="eastAsia" w:ascii="仿宋_GB2312" w:hAnsi="仿宋_GB2312" w:eastAsia="仿宋_GB2312" w:cs="宋体"/>
                <w:color w:val="000000"/>
                <w:kern w:val="0"/>
                <w:sz w:val="24"/>
              </w:rPr>
              <w:t>以</w:t>
            </w:r>
          </w:p>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习近平在宁德的领导实践为案例</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33</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江西省委党校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高莉娟</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江西革命老区脱贫攻坚典型模式及启示</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34</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江西省委党校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杨泽娟</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农村基层党组织建设视角下的“第一书记”驻村帮扶研究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35</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山东省委党校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张书林</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中国共产党的政治凝聚力研究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36</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山东省委党校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周天楠</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国家治理现代化视域下改进党的执政方式研究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37</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山东省委党校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吴荣生</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当代中国马克思主义“失语”问题及应对研究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38</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河南省委党校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张廷银</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粮食核心区市场和政府作用的实证研究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39</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河南省委党校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赵士红</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县委书记在全面从严治党中的角色错位及其矫正</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40</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河南省委党校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李  涛</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习近平治国理政思想研究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41</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湖北省委党校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董  毅</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运用“新媒体”培育党的公信力的对策与机制研究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42</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湖北省委党校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姜  涛</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经济新常态下的政府与市场关系研究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43</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eastAsia="仿宋_GB2312"/>
                <w:color w:val="000000"/>
                <w:kern w:val="0"/>
                <w:sz w:val="24"/>
              </w:rPr>
            </w:pPr>
            <w:r>
              <w:rPr>
                <w:rFonts w:hint="eastAsia" w:eastAsia="仿宋_GB2312"/>
                <w:color w:val="000000"/>
                <w:kern w:val="0"/>
                <w:sz w:val="24"/>
              </w:rPr>
              <w:t>湖南省委党校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李美玲</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开发利用湖南红色文化资源服务干部党性教育研究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44</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湖南省委党校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瞿理铜</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农村宅基地市场化配置的制约因素与破解对策</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45</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广东省委党校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张  卿</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基于市场失灵、交易属性两个维度的政府与市场关系研究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46</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广东省委党校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李  云</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经济新常态下我国就业制度创新研究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47</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广东省委党校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成  龙</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习近平治国理政思想精神实质研究</w:t>
            </w:r>
          </w:p>
        </w:tc>
      </w:tr>
      <w:tr>
        <w:tblPrEx>
          <w:tblLayout w:type="fixed"/>
          <w:tblCellMar>
            <w:top w:w="0" w:type="dxa"/>
            <w:left w:w="108" w:type="dxa"/>
            <w:bottom w:w="0" w:type="dxa"/>
            <w:right w:w="108" w:type="dxa"/>
          </w:tblCellMar>
        </w:tblPrEx>
        <w:trPr>
          <w:trHeight w:val="680"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48</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广西自治区委党校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李广义</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绿色发展理念实践性的调研与思考</w:t>
            </w:r>
            <w:r>
              <w:rPr>
                <w:rFonts w:hint="eastAsia" w:ascii="仿宋_GB2312" w:hAnsi="仿宋_GB2312" w:eastAsia="仿宋_GB2312" w:cs="宋体"/>
                <w:color w:val="000000"/>
                <w:w w:val="200"/>
                <w:kern w:val="0"/>
                <w:sz w:val="24"/>
              </w:rPr>
              <w:t>—</w:t>
            </w:r>
            <w:r>
              <w:rPr>
                <w:rFonts w:hint="eastAsia" w:ascii="仿宋_GB2312" w:hAnsi="仿宋_GB2312" w:eastAsia="仿宋_GB2312" w:cs="宋体"/>
                <w:color w:val="000000"/>
                <w:kern w:val="0"/>
                <w:sz w:val="24"/>
              </w:rPr>
              <w:t>以广西实施绿色发展战略为例</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49</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广西自治区委党校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王明波</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习近平治国理政思想方法和工作方法研究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50</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广西自治区委党校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陆  昱</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国家市场经济：政府与市场关系的视角</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51</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海南省委党校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张红锋</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新时期坚定共产党员理想信念问题研究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52</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海南省委党校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张  扬</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习近平经略南海战略思想研究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53</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四川省委党校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江  渝</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新时期治理“为官不为”的路径和机制研究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54</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四川省委党校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韩宏亮</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社会治理视角下藏区公众利益表达问题研究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55</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重庆市委党校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李严昌</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城乡社区协商制度化的现状调查与推进对策研究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56</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重庆市委党校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洪  丹</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风险治理研究：以“一带一路”战略为例</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57</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贵州省委党校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雷德雨</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pacing w:val="-8"/>
                <w:sz w:val="24"/>
              </w:rPr>
            </w:pPr>
            <w:r>
              <w:rPr>
                <w:rFonts w:hint="eastAsia" w:ascii="仿宋_GB2312" w:hAnsi="仿宋_GB2312" w:eastAsia="仿宋_GB2312" w:cs="宋体"/>
                <w:color w:val="000000"/>
                <w:spacing w:val="-8"/>
                <w:kern w:val="0"/>
                <w:sz w:val="24"/>
              </w:rPr>
              <w:t>贵州经济绿色发展的理论内涵、实现路径与政策创新</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58</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贵州省委党校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黄亦君</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驻村干部与精准扶贫</w:t>
            </w:r>
            <w:r>
              <w:rPr>
                <w:rFonts w:hint="eastAsia" w:ascii="仿宋_GB2312" w:hAnsi="仿宋_GB2312" w:eastAsia="仿宋_GB2312" w:cs="宋体"/>
                <w:color w:val="000000"/>
                <w:w w:val="200"/>
                <w:kern w:val="0"/>
                <w:sz w:val="24"/>
              </w:rPr>
              <w:t>—</w:t>
            </w:r>
            <w:r>
              <w:rPr>
                <w:rFonts w:hint="eastAsia" w:ascii="仿宋_GB2312" w:hAnsi="仿宋_GB2312" w:eastAsia="仿宋_GB2312" w:cs="宋体"/>
                <w:color w:val="000000"/>
                <w:kern w:val="0"/>
                <w:sz w:val="24"/>
              </w:rPr>
              <w:t>以贵州民族村寨为例</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59</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云南省委党校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韩  斌</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云南乌蒙山片区贫困人口精准脱贫策略优化研究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60</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云南省委党校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赵  涛</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共享理念与人本视角下云南城乡基本公共服务均等化路径优化研究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61</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西藏自治区委党校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刘  恒</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西藏基层政权建设研究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62</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陕西省委党校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姚  蓉</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南水北调中线水源地践行绿色发展的路径探析</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63</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陕西省委党校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潘怀平</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习近平的“把群众合理合法的诉求解决好”的理念及路径研究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64</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陕西省委党校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孟来果</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创新驱动视角下优化文化产业制度供给研究</w:t>
            </w:r>
          </w:p>
        </w:tc>
      </w:tr>
      <w:tr>
        <w:tblPrEx>
          <w:tblLayout w:type="fixed"/>
          <w:tblCellMar>
            <w:top w:w="0" w:type="dxa"/>
            <w:left w:w="108" w:type="dxa"/>
            <w:bottom w:w="0" w:type="dxa"/>
            <w:right w:w="108" w:type="dxa"/>
          </w:tblCellMar>
        </w:tblPrEx>
        <w:trPr>
          <w:trHeight w:val="680"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65</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甘肃省委党校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滕海峰</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“新土改”对农村土地经营制度的影响及其政策应对</w:t>
            </w:r>
            <w:r>
              <w:rPr>
                <w:rFonts w:hint="eastAsia" w:ascii="仿宋_GB2312" w:hAnsi="仿宋_GB2312" w:eastAsia="仿宋_GB2312" w:cs="宋体"/>
                <w:color w:val="000000"/>
                <w:w w:val="200"/>
                <w:kern w:val="0"/>
                <w:sz w:val="24"/>
              </w:rPr>
              <w:t>—</w:t>
            </w:r>
            <w:r>
              <w:rPr>
                <w:rFonts w:hint="eastAsia" w:ascii="仿宋_GB2312" w:hAnsi="仿宋_GB2312" w:eastAsia="仿宋_GB2312" w:cs="宋体"/>
                <w:color w:val="000000"/>
                <w:kern w:val="0"/>
                <w:sz w:val="24"/>
              </w:rPr>
              <w:t>甘肃调查</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66</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甘肃省委党校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李龙江</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习近平民族观研究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67</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青海省委党校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杜敏学</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以“五大发展理念”引领青海供给侧结构改革</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68</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青海省委党校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马星远</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青海省党校系统新型智库建设研究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69</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宁夏自治区委党校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雷晓萍</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地方政府依法行政能力提升研究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70</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宁夏自治区委党校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周晓军</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 xml:space="preserve">习近平治国理政新战略中的法治意蕴  </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71</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新疆自治区委党校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何伟昌</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“访惠聚”活动视角下南疆农村基层党组织建设调查研究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72</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新疆自治区委党校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朱宪臣</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党在新疆民族地区农村基层治理的理论与实践研究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73</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新疆自治区委党校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王  鹏</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党的十八大以来新疆基层党建工作创新研究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74</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铁道党校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邱少明</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习近平严格党内政治生活思想研究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75</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新疆建设兵团党校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李学军</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习近平“精准扶贫、精准脱贫”方略在南疆地区实践研究</w:t>
            </w:r>
          </w:p>
        </w:tc>
      </w:tr>
      <w:tr>
        <w:tblPrEx>
          <w:tblLayout w:type="fixed"/>
          <w:tblCellMar>
            <w:top w:w="0" w:type="dxa"/>
            <w:left w:w="108" w:type="dxa"/>
            <w:bottom w:w="0" w:type="dxa"/>
            <w:right w:w="108" w:type="dxa"/>
          </w:tblCellMar>
        </w:tblPrEx>
        <w:trPr>
          <w:trHeight w:val="680"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76</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新疆建设兵团党校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张  洋</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新疆兵团贯彻党的领导、人民当家作主、依法治国有机统一的实践研究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77</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广州市委党校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武三中</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基层党建创新引领基层社会治理研究</w:t>
            </w:r>
          </w:p>
        </w:tc>
      </w:tr>
      <w:tr>
        <w:tblPrEx>
          <w:tblLayout w:type="fixed"/>
          <w:tblCellMar>
            <w:top w:w="0" w:type="dxa"/>
            <w:left w:w="108" w:type="dxa"/>
            <w:bottom w:w="0" w:type="dxa"/>
            <w:right w:w="108" w:type="dxa"/>
          </w:tblCellMar>
        </w:tblPrEx>
        <w:trPr>
          <w:trHeight w:val="680"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78</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武汉市委党校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谢  标</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特大城市政府购买公共服务中的风险及防范机制研究</w:t>
            </w:r>
            <w:r>
              <w:rPr>
                <w:rFonts w:hint="eastAsia" w:ascii="仿宋_GB2312" w:hAnsi="仿宋_GB2312" w:eastAsia="仿宋_GB2312" w:cs="宋体"/>
                <w:color w:val="000000"/>
                <w:w w:val="200"/>
                <w:kern w:val="0"/>
                <w:sz w:val="24"/>
              </w:rPr>
              <w:t>—</w:t>
            </w:r>
            <w:r>
              <w:rPr>
                <w:rFonts w:hint="eastAsia" w:ascii="仿宋_GB2312" w:hAnsi="仿宋_GB2312" w:eastAsia="仿宋_GB2312" w:cs="宋体"/>
                <w:color w:val="000000"/>
                <w:kern w:val="0"/>
                <w:sz w:val="24"/>
              </w:rPr>
              <w:t>以武汉、深圳、上海为例</w:t>
            </w:r>
          </w:p>
        </w:tc>
      </w:tr>
      <w:tr>
        <w:tblPrEx>
          <w:tblLayout w:type="fixed"/>
          <w:tblCellMar>
            <w:top w:w="0" w:type="dxa"/>
            <w:left w:w="108" w:type="dxa"/>
            <w:bottom w:w="0" w:type="dxa"/>
            <w:right w:w="108" w:type="dxa"/>
          </w:tblCellMar>
        </w:tblPrEx>
        <w:trPr>
          <w:trHeight w:val="680"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79</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哈尔滨市委党校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胡永琴</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中国特色社会主义政治制度优越性的公众认同研究</w:t>
            </w:r>
            <w:r>
              <w:rPr>
                <w:rFonts w:hint="eastAsia" w:ascii="仿宋_GB2312" w:hAnsi="仿宋_GB2312" w:eastAsia="仿宋_GB2312" w:cs="宋体"/>
                <w:color w:val="000000"/>
                <w:w w:val="200"/>
                <w:kern w:val="0"/>
                <w:sz w:val="24"/>
              </w:rPr>
              <w:t>—</w:t>
            </w:r>
            <w:r>
              <w:rPr>
                <w:rFonts w:hint="eastAsia" w:ascii="仿宋_GB2312" w:hAnsi="仿宋_GB2312" w:eastAsia="仿宋_GB2312" w:cs="宋体"/>
                <w:color w:val="000000"/>
                <w:kern w:val="0"/>
                <w:sz w:val="24"/>
              </w:rPr>
              <w:t>基于哈尔滨市的调查与分析</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80</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哈尔滨市委党校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汪  波</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推进哈尔滨市农业供给侧结构性改革对策研究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81</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沈阳市委党校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于东明</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东北再振兴背景下政府与市场在资源配置中的关系问题研究</w:t>
            </w:r>
          </w:p>
        </w:tc>
      </w:tr>
      <w:tr>
        <w:tblPrEx>
          <w:tblLayout w:type="fixed"/>
          <w:tblCellMar>
            <w:top w:w="0" w:type="dxa"/>
            <w:left w:w="108" w:type="dxa"/>
            <w:bottom w:w="0" w:type="dxa"/>
            <w:right w:w="108" w:type="dxa"/>
          </w:tblCellMar>
        </w:tblPrEx>
        <w:trPr>
          <w:trHeight w:val="680"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82</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成都市委党校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付启章</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如何看待对监督者本身实施监督</w:t>
            </w:r>
            <w:r>
              <w:rPr>
                <w:rFonts w:hint="eastAsia" w:ascii="仿宋_GB2312" w:hAnsi="仿宋_GB2312" w:eastAsia="仿宋_GB2312" w:cs="宋体"/>
                <w:color w:val="000000"/>
                <w:w w:val="200"/>
                <w:kern w:val="0"/>
                <w:sz w:val="24"/>
              </w:rPr>
              <w:t>—</w:t>
            </w:r>
            <w:r>
              <w:rPr>
                <w:rFonts w:hint="eastAsia" w:ascii="仿宋_GB2312" w:hAnsi="仿宋_GB2312" w:eastAsia="仿宋_GB2312" w:cs="宋体"/>
                <w:color w:val="000000"/>
                <w:kern w:val="0"/>
                <w:sz w:val="24"/>
              </w:rPr>
              <w:t>建立健全纪检监察机构内外部监督机制问题研究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83</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成都市委党校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 xml:space="preserve">郭  </w:t>
            </w:r>
            <w:r>
              <w:rPr>
                <w:rFonts w:hint="eastAsia" w:ascii="宋体" w:hAnsi="宋体" w:cs="宋体"/>
                <w:color w:val="000000"/>
                <w:kern w:val="0"/>
                <w:sz w:val="24"/>
              </w:rPr>
              <w:t>祎</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基层干部增强党员意识研究</w:t>
            </w:r>
            <w:r>
              <w:rPr>
                <w:rFonts w:hint="eastAsia" w:ascii="仿宋_GB2312" w:hAnsi="仿宋_GB2312" w:eastAsia="仿宋_GB2312" w:cs="宋体"/>
                <w:color w:val="000000"/>
                <w:w w:val="200"/>
                <w:kern w:val="0"/>
                <w:sz w:val="24"/>
              </w:rPr>
              <w:t>—</w:t>
            </w:r>
            <w:r>
              <w:rPr>
                <w:rFonts w:hint="eastAsia" w:ascii="仿宋_GB2312" w:hAnsi="仿宋_GB2312" w:eastAsia="仿宋_GB2312" w:cs="宋体"/>
                <w:color w:val="000000"/>
                <w:kern w:val="0"/>
                <w:sz w:val="24"/>
              </w:rPr>
              <w:t>以成都市为例</w:t>
            </w:r>
          </w:p>
        </w:tc>
      </w:tr>
      <w:tr>
        <w:tblPrEx>
          <w:tblLayout w:type="fixed"/>
          <w:tblCellMar>
            <w:top w:w="0" w:type="dxa"/>
            <w:left w:w="108" w:type="dxa"/>
            <w:bottom w:w="0" w:type="dxa"/>
            <w:right w:w="108" w:type="dxa"/>
          </w:tblCellMar>
        </w:tblPrEx>
        <w:trPr>
          <w:trHeight w:val="680"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84</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南京市委党校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王  兵</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社会转型期“能人腐败”预防与治理对策研究</w:t>
            </w:r>
            <w:r>
              <w:rPr>
                <w:rFonts w:hint="eastAsia" w:ascii="仿宋_GB2312" w:hAnsi="仿宋_GB2312" w:eastAsia="仿宋_GB2312" w:cs="宋体"/>
                <w:color w:val="000000"/>
                <w:w w:val="200"/>
                <w:kern w:val="0"/>
                <w:sz w:val="24"/>
              </w:rPr>
              <w:t>—</w:t>
            </w:r>
            <w:r>
              <w:rPr>
                <w:rFonts w:hint="eastAsia" w:ascii="仿宋_GB2312" w:hAnsi="仿宋_GB2312" w:eastAsia="仿宋_GB2312" w:cs="宋体"/>
                <w:color w:val="000000"/>
                <w:kern w:val="0"/>
                <w:sz w:val="24"/>
              </w:rPr>
              <w:t>基于江苏样本的实证研究</w:t>
            </w:r>
          </w:p>
        </w:tc>
      </w:tr>
      <w:tr>
        <w:tblPrEx>
          <w:tblLayout w:type="fixed"/>
          <w:tblCellMar>
            <w:top w:w="0" w:type="dxa"/>
            <w:left w:w="108" w:type="dxa"/>
            <w:bottom w:w="0" w:type="dxa"/>
            <w:right w:w="108" w:type="dxa"/>
          </w:tblCellMar>
        </w:tblPrEx>
        <w:trPr>
          <w:trHeight w:val="680"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85</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南京市委党校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甘文华</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经济新常态视野下精准扶贫的难点与对策</w:t>
            </w:r>
            <w:r>
              <w:rPr>
                <w:rFonts w:hint="eastAsia" w:ascii="仿宋_GB2312" w:hAnsi="仿宋_GB2312" w:eastAsia="仿宋_GB2312" w:cs="宋体"/>
                <w:color w:val="000000"/>
                <w:w w:val="200"/>
                <w:kern w:val="0"/>
                <w:sz w:val="24"/>
              </w:rPr>
              <w:t>—</w:t>
            </w:r>
            <w:r>
              <w:rPr>
                <w:rFonts w:hint="eastAsia" w:ascii="仿宋_GB2312" w:hAnsi="仿宋_GB2312" w:eastAsia="仿宋_GB2312" w:cs="宋体"/>
                <w:color w:val="000000"/>
                <w:kern w:val="0"/>
                <w:sz w:val="24"/>
              </w:rPr>
              <w:t>基于南京的实证分析</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86</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西安市委党校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艾年武</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全面从严治党的特点、规律和路径研究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87</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长春市委党校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马欣员</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经济新常态下中国制造业价值链重构与智能制造创新研究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88</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长春市委党校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朱海波</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习近平治国理政新理念下的党性教育实效性新路径研究</w:t>
            </w:r>
          </w:p>
        </w:tc>
      </w:tr>
      <w:tr>
        <w:tblPrEx>
          <w:tblLayout w:type="fixed"/>
          <w:tblCellMar>
            <w:top w:w="0" w:type="dxa"/>
            <w:left w:w="108" w:type="dxa"/>
            <w:bottom w:w="0" w:type="dxa"/>
            <w:right w:w="108" w:type="dxa"/>
          </w:tblCellMar>
        </w:tblPrEx>
        <w:trPr>
          <w:trHeight w:val="680"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89</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济南市委党校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胡爱敏</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“互联网+”背景下公共服务创新路径研究</w:t>
            </w:r>
            <w:r>
              <w:rPr>
                <w:rFonts w:hint="eastAsia" w:ascii="仿宋_GB2312" w:hAnsi="仿宋_GB2312" w:eastAsia="仿宋_GB2312" w:cs="宋体"/>
                <w:color w:val="000000"/>
                <w:w w:val="200"/>
                <w:kern w:val="0"/>
                <w:sz w:val="24"/>
              </w:rPr>
              <w:t>—</w:t>
            </w:r>
            <w:r>
              <w:rPr>
                <w:rFonts w:hint="eastAsia" w:ascii="仿宋_GB2312" w:hAnsi="仿宋_GB2312" w:eastAsia="仿宋_GB2312" w:cs="宋体"/>
                <w:color w:val="000000"/>
                <w:kern w:val="0"/>
                <w:sz w:val="24"/>
              </w:rPr>
              <w:t>以济南市农民工网上服务平台为例</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90</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杭州市委党校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刘  钊</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习近平意识形态建设思想研究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91</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杭州市委党校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李宗开</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开放发展的实现途径研究</w:t>
            </w:r>
            <w:r>
              <w:rPr>
                <w:rFonts w:hint="eastAsia" w:ascii="仿宋_GB2312" w:hAnsi="仿宋_GB2312" w:eastAsia="仿宋_GB2312" w:cs="宋体"/>
                <w:color w:val="000000"/>
                <w:w w:val="200"/>
                <w:kern w:val="0"/>
                <w:sz w:val="24"/>
              </w:rPr>
              <w:t>—</w:t>
            </w:r>
            <w:r>
              <w:rPr>
                <w:rFonts w:hint="eastAsia" w:ascii="仿宋_GB2312" w:hAnsi="仿宋_GB2312" w:eastAsia="仿宋_GB2312" w:cs="宋体"/>
                <w:color w:val="000000"/>
                <w:kern w:val="0"/>
                <w:sz w:val="24"/>
              </w:rPr>
              <w:t>以杭州为例</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92</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大连市委党校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沈  毅</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以新发展理念引领养老保障体系协调发展研究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93</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青岛市委党校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李光全</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“一带一路”战略视角下习近平新开放观研究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94</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深圳市委党校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宋腊梅</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对当前出现的几种主要反腐败论调的辨析</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95</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深圳市委党校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陈少雷</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哲学视域下的文化转型与价值建构问题研究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96</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厦门市委党校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牛  君</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习近平政治生态治理思想研究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97</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宁波市委党校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顾锋娟</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互联网金融背景下中小企业融资模式创新及政策配套研究</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98</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无锡市委党校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王  芳</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西方政治哲学视域中的“自由”概念剖析</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99</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潍坊市委党校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徐建军</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以新的发展理念推进城镇化与农业现代化协调发展</w:t>
            </w:r>
            <w:r>
              <w:rPr>
                <w:rFonts w:hint="eastAsia" w:ascii="仿宋_GB2312" w:hAnsi="仿宋_GB2312" w:eastAsia="仿宋_GB2312" w:cs="宋体"/>
                <w:color w:val="000000"/>
                <w:w w:val="200"/>
                <w:kern w:val="0"/>
                <w:sz w:val="24"/>
              </w:rPr>
              <w:t>—</w:t>
            </w:r>
            <w:r>
              <w:rPr>
                <w:rFonts w:hint="eastAsia" w:ascii="仿宋_GB2312" w:hAnsi="仿宋_GB2312" w:eastAsia="仿宋_GB2312" w:cs="宋体"/>
                <w:color w:val="000000"/>
                <w:kern w:val="0"/>
                <w:sz w:val="24"/>
              </w:rPr>
              <w:t xml:space="preserve">以潍坊市的实践为例 </w:t>
            </w:r>
          </w:p>
        </w:tc>
      </w:tr>
      <w:tr>
        <w:tblPrEx>
          <w:tblLayout w:type="fixed"/>
          <w:tblCellMar>
            <w:top w:w="0" w:type="dxa"/>
            <w:left w:w="108" w:type="dxa"/>
            <w:bottom w:w="0" w:type="dxa"/>
            <w:right w:w="108" w:type="dxa"/>
          </w:tblCellMar>
        </w:tblPrEx>
        <w:trPr>
          <w:trHeight w:val="397" w:hRule="atLeast"/>
          <w:jc w:val="center"/>
        </w:trPr>
        <w:tc>
          <w:tcPr>
            <w:tcW w:w="558"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eastAsia="仿宋_GB2312"/>
                <w:color w:val="000000"/>
                <w:kern w:val="0"/>
                <w:sz w:val="24"/>
              </w:rPr>
            </w:pPr>
            <w:r>
              <w:rPr>
                <w:rFonts w:hint="eastAsia" w:eastAsia="仿宋_GB2312"/>
                <w:color w:val="000000"/>
                <w:kern w:val="0"/>
                <w:sz w:val="24"/>
              </w:rPr>
              <w:t>100</w:t>
            </w:r>
          </w:p>
        </w:tc>
        <w:tc>
          <w:tcPr>
            <w:tcW w:w="220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咸阳市委党校</w:t>
            </w:r>
          </w:p>
        </w:tc>
        <w:tc>
          <w:tcPr>
            <w:tcW w:w="85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韦付萍</w:t>
            </w:r>
          </w:p>
        </w:tc>
        <w:tc>
          <w:tcPr>
            <w:tcW w:w="536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left"/>
              <w:textAlignment w:val="center"/>
              <w:rPr>
                <w:rFonts w:ascii="仿宋_GB2312" w:hAnsi="仿宋_GB2312" w:eastAsia="仿宋_GB2312" w:cs="宋体"/>
                <w:color w:val="000000"/>
                <w:sz w:val="24"/>
              </w:rPr>
            </w:pPr>
            <w:r>
              <w:rPr>
                <w:rFonts w:hint="eastAsia" w:ascii="仿宋_GB2312" w:hAnsi="仿宋_GB2312" w:eastAsia="仿宋_GB2312" w:cs="宋体"/>
                <w:color w:val="000000"/>
                <w:kern w:val="0"/>
                <w:sz w:val="24"/>
              </w:rPr>
              <w:t>依法治国视域下公众参与地方立法的实证研究</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4D725A"/>
    <w:rsid w:val="6D4D725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Normal (Web)"/>
    <w:basedOn w:val="1"/>
    <w:qFormat/>
    <w:uiPriority w:val="0"/>
    <w:pPr>
      <w:jc w:val="left"/>
    </w:pPr>
    <w:rPr>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2016-09-07T01:27:00Z</dcterms:created>
  <dc:creator>2305</dc:creator>
  <cp:lastModifiedBy>2305</cp:lastModifiedBy>
  <dcterms:modified xsi:type="dcterms:W3CDTF">2016-09-07T01:27:54Z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